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00000001" w14:textId="77777777" w:rsidR="002636BD" w:rsidRDefault="0070767E">
      <w:pPr>
        <w:spacing w:line="12pt" w:lineRule="auto"/>
        <w:jc w:val="both"/>
        <w:rPr>
          <w:rFonts w:ascii="Corbel" w:eastAsia="Corbel" w:hAnsi="Corbel" w:cs="Corbel"/>
          <w:b/>
        </w:rPr>
      </w:pPr>
      <w:r>
        <w:rPr>
          <w:rFonts w:ascii="Corbel" w:eastAsia="Corbel" w:hAnsi="Corbel" w:cs="Corbel"/>
          <w:b/>
        </w:rPr>
        <w:t>Partecipanti: Gruppi di studenti (4-5)</w:t>
      </w:r>
    </w:p>
    <w:p w14:paraId="00000002" w14:textId="77777777" w:rsidR="002636BD" w:rsidRDefault="0070767E">
      <w:pPr>
        <w:spacing w:line="12pt" w:lineRule="auto"/>
        <w:jc w:val="both"/>
        <w:rPr>
          <w:rFonts w:ascii="Corbel" w:eastAsia="Corbel" w:hAnsi="Corbel" w:cs="Corbel"/>
          <w:b/>
        </w:rPr>
      </w:pPr>
      <w:r>
        <w:rPr>
          <w:rFonts w:ascii="Corbel" w:eastAsia="Corbel" w:hAnsi="Corbel" w:cs="Corbel"/>
          <w:b/>
        </w:rPr>
        <w:t xml:space="preserve">Durata:   1 ora di ‘gioco’ + 1 ora di ‘debriefing’ </w:t>
      </w:r>
    </w:p>
    <w:p w14:paraId="00000003" w14:textId="77777777" w:rsidR="002636BD" w:rsidRDefault="0070767E">
      <w:pPr>
        <w:spacing w:line="12pt" w:lineRule="auto"/>
        <w:jc w:val="both"/>
        <w:rPr>
          <w:rFonts w:ascii="Corbel" w:eastAsia="Corbel" w:hAnsi="Corbel" w:cs="Corbel"/>
          <w:b/>
        </w:rPr>
      </w:pPr>
      <w:r>
        <w:rPr>
          <w:rFonts w:ascii="Corbel" w:eastAsia="Corbel" w:hAnsi="Corbel" w:cs="Corbel"/>
          <w:b/>
        </w:rPr>
        <w:t xml:space="preserve">Difficoltà: elevata </w:t>
      </w:r>
    </w:p>
    <w:p w14:paraId="00000004" w14:textId="77777777" w:rsidR="002636BD" w:rsidRDefault="0070767E">
      <w:pPr>
        <w:spacing w:line="12pt" w:lineRule="auto"/>
        <w:jc w:val="both"/>
        <w:rPr>
          <w:rFonts w:ascii="Corbel" w:eastAsia="Corbel" w:hAnsi="Corbel" w:cs="Corbel"/>
          <w:b/>
        </w:rPr>
      </w:pPr>
      <w:r>
        <w:rPr>
          <w:rFonts w:ascii="Corbel" w:eastAsia="Corbel" w:hAnsi="Corbel" w:cs="Corbel"/>
          <w:b/>
        </w:rPr>
        <w:t xml:space="preserve">Tipo di attività:  In classe  </w:t>
      </w:r>
    </w:p>
    <w:p w14:paraId="00000005" w14:textId="77777777" w:rsidR="002636BD" w:rsidRDefault="0070767E">
      <w:pPr>
        <w:spacing w:line="12pt" w:lineRule="auto"/>
        <w:jc w:val="both"/>
        <w:rPr>
          <w:rFonts w:ascii="Corbel" w:eastAsia="Corbel" w:hAnsi="Corbel" w:cs="Corbel"/>
          <w:b/>
        </w:rPr>
      </w:pPr>
      <w:r>
        <w:rPr>
          <w:rFonts w:ascii="Corbel" w:eastAsia="Corbel" w:hAnsi="Corbel" w:cs="Corbel"/>
          <w:b/>
        </w:rPr>
        <w:t xml:space="preserve">Argomento: Calcolo </w:t>
      </w:r>
    </w:p>
    <w:p w14:paraId="00000006" w14:textId="77777777" w:rsidR="002636BD" w:rsidRDefault="0070767E">
      <w:pPr>
        <w:spacing w:line="12pt" w:lineRule="auto"/>
        <w:jc w:val="both"/>
        <w:rPr>
          <w:rFonts w:ascii="Corbel" w:eastAsia="Corbel" w:hAnsi="Corbel" w:cs="Corbel"/>
          <w:color w:val="1155CC"/>
          <w:u w:val="single"/>
        </w:rPr>
      </w:pPr>
      <w:r>
        <w:rPr>
          <w:rFonts w:ascii="Corbel" w:eastAsia="Corbel" w:hAnsi="Corbel" w:cs="Corbel"/>
          <w:b/>
        </w:rPr>
        <w:t>Istruzioni</w:t>
      </w:r>
      <w:r>
        <w:rPr>
          <w:rFonts w:ascii="Corbel" w:eastAsia="Corbel" w:hAnsi="Corbel" w:cs="Corbel"/>
        </w:rPr>
        <w:t xml:space="preserve"> : Questa attività consente agli studenti di pensare e imparare a raccogliere i dati in una scuola, sotto forma di gioco, prima di effettuare la vera raccolta di dati.</w:t>
      </w:r>
    </w:p>
    <w:p w14:paraId="00000007" w14:textId="77777777" w:rsidR="002636BD" w:rsidRDefault="0070767E">
      <w:pPr>
        <w:spacing w:line="12pt" w:lineRule="auto"/>
        <w:jc w:val="both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"Carbon Survey" è un gioco per comprendere il calcolo delle emissioni di CO2 e il suo ap</w:t>
      </w:r>
      <w:r>
        <w:rPr>
          <w:rFonts w:ascii="Corbel" w:eastAsia="Corbel" w:hAnsi="Corbel" w:cs="Corbel"/>
        </w:rPr>
        <w:t xml:space="preserve">proccio all'interno di una scuola superiore. È concepito come gioco per 2-8 giocatori che rivestono i panni di 4 personaggi che esplorano il loro istituto per raccogliere indizi (e dati) e trovare le attività del liceo che emettono gas serra. </w:t>
      </w:r>
    </w:p>
    <w:p w14:paraId="00000008" w14:textId="77777777" w:rsidR="002636BD" w:rsidRDefault="0070767E">
      <w:pPr>
        <w:spacing w:line="12pt" w:lineRule="auto"/>
        <w:jc w:val="both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Per farlo, d</w:t>
      </w:r>
      <w:r>
        <w:rPr>
          <w:rFonts w:ascii="Corbel" w:eastAsia="Corbel" w:hAnsi="Corbel" w:cs="Corbel"/>
        </w:rPr>
        <w:t>evono pescare carte da luoghi diversi. Ci sono 20 carte ma possono sceglierne solo 16, quindi dovranno pensare se hanno bisogno di maggiori informazioni su Cibo o Trasporti, ad esempio. Una volta che hanno tutte le informazioni possibili, gli studenti devo</w:t>
      </w:r>
      <w:r>
        <w:rPr>
          <w:rFonts w:ascii="Corbel" w:eastAsia="Corbel" w:hAnsi="Corbel" w:cs="Corbel"/>
        </w:rPr>
        <w:t>no raccogliere le cifre rilevanti, stimare quelle mancanti e fare alcuni calcoli per produrre una valutazione completa delle emissioni di CO2. Quindi possono confrontarsi con le altre squadre e con la correzione.</w:t>
      </w:r>
    </w:p>
    <w:p w14:paraId="00000009" w14:textId="77777777" w:rsidR="002636BD" w:rsidRDefault="0070767E">
      <w:pPr>
        <w:widowControl w:val="0"/>
        <w:spacing w:line="12pt" w:lineRule="auto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https://www.clickson.eu/en/student-kit-2</w:t>
      </w:r>
    </w:p>
    <w:p w14:paraId="0000000A" w14:textId="77777777" w:rsidR="002636BD" w:rsidRDefault="002636BD"/>
    <w:sectPr w:rsidR="002636BD">
      <w:pgSz w:w="595.45pt" w:h="841.70pt"/>
      <w:pgMar w:top="72pt" w:right="72pt" w:bottom="72pt" w:left="72pt" w:header="36pt" w:footer="36pt" w:gutter="0pt"/>
      <w:pgNumType w:start="1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characterSet="iso-8859-1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/>
  <w:defaultTabStop w:val="36pt"/>
  <w:hyphenationZone w:val="14.1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6BD"/>
    <w:rsid w:val="002636BD"/>
    <w:rsid w:val="0070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2FF9290-DBE1-49BA-B936-624D1D83333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13.80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20pt" w:after="6pt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18pt" w:after="6pt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16pt" w:after="4pt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14pt" w:after="4pt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12pt" w:after="4pt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12pt" w:after="4pt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pt" w:type="dxa"/>
        <w:start w:w="0pt" w:type="dxa"/>
        <w:bottom w:w="0pt" w:type="dxa"/>
        <w:end w:w="0pt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3pt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16pt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tint val="100%"/>
                <a:shade val="100%"/>
                <a:satMod val="130%"/>
              </a:schemeClr>
            </a:gs>
            <a:gs pos="100%">
              <a:schemeClr val="phClr">
                <a:tint val="50%"/>
                <a:shade val="100%"/>
                <a:satMod val="350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Vera Agostini</cp:lastModifiedBy>
  <cp:revision>2</cp:revision>
  <dcterms:created xsi:type="dcterms:W3CDTF">2022-01-05T11:20:00Z</dcterms:created>
  <dcterms:modified xsi:type="dcterms:W3CDTF">2022-01-05T11:20:00Z</dcterms:modified>
</cp:coreProperties>
</file>